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D" w:rsidRDefault="00FA0C40">
      <w:pPr>
        <w:pStyle w:val="cmjNASLOV"/>
      </w:pPr>
      <w:r>
        <w:t xml:space="preserve">1,25-hidroksivitamin D ublažava kolitis kod štakora smanjenjm ekspresije receptora nalik </w:t>
      </w:r>
      <w:r>
        <w:t>9</w:t>
      </w:r>
    </w:p>
    <w:p w:rsidR="009F503D" w:rsidRDefault="009F503D">
      <w:pPr>
        <w:spacing w:line="360" w:lineRule="auto"/>
        <w:jc w:val="left"/>
        <w:rPr>
          <w:lang w:val="hr-HR"/>
        </w:rPr>
      </w:pPr>
    </w:p>
    <w:p w:rsidR="009F503D" w:rsidRPr="00535765" w:rsidRDefault="00FA0C40">
      <w:pPr>
        <w:pStyle w:val="cmjTEXT"/>
        <w:rPr>
          <w:lang w:val="hr-HR"/>
        </w:rPr>
      </w:pPr>
      <w:r>
        <w:rPr>
          <w:b/>
          <w:lang w:val="hr-HR"/>
        </w:rPr>
        <w:t xml:space="preserve">Cilj </w:t>
      </w:r>
      <w:r>
        <w:rPr>
          <w:lang w:val="hr-HR"/>
        </w:rPr>
        <w:t>Istražiti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terapeutske i </w:t>
      </w:r>
      <w:proofErr w:type="spellStart"/>
      <w:r>
        <w:rPr>
          <w:lang w:val="hr-HR"/>
        </w:rPr>
        <w:t>imunoregulatorne</w:t>
      </w:r>
      <w:proofErr w:type="spellEnd"/>
      <w:r>
        <w:rPr>
          <w:lang w:val="hr-HR"/>
        </w:rPr>
        <w:t xml:space="preserve"> učinke 1,25-</w:t>
      </w:r>
      <w:proofErr w:type="spellStart"/>
      <w:r>
        <w:rPr>
          <w:lang w:val="hr-HR"/>
        </w:rPr>
        <w:t>dihidroksivitamina</w:t>
      </w:r>
      <w:proofErr w:type="spellEnd"/>
      <w:r>
        <w:rPr>
          <w:lang w:val="hr-HR"/>
        </w:rPr>
        <w:t xml:space="preserve"> D (1,25(OH)D</w:t>
      </w:r>
      <w:r>
        <w:rPr>
          <w:vertAlign w:val="subscript"/>
          <w:lang w:val="hr-HR"/>
        </w:rPr>
        <w:t>3</w:t>
      </w:r>
      <w:r>
        <w:rPr>
          <w:lang w:val="hr-HR"/>
        </w:rPr>
        <w:t>) na kolitis izazvan 2,4,6-</w:t>
      </w:r>
      <w:proofErr w:type="spellStart"/>
      <w:r>
        <w:rPr>
          <w:lang w:val="hr-HR"/>
        </w:rPr>
        <w:t>trinitrobenzenesulfonskom</w:t>
      </w:r>
      <w:proofErr w:type="spellEnd"/>
      <w:r>
        <w:rPr>
          <w:lang w:val="hr-HR"/>
        </w:rPr>
        <w:t xml:space="preserve"> kiselinom </w:t>
      </w:r>
      <w:r>
        <w:rPr>
          <w:lang w:val="hr-HR"/>
        </w:rPr>
        <w:t>(</w:t>
      </w:r>
      <w:r>
        <w:rPr>
          <w:lang w:val="hr-HR"/>
        </w:rPr>
        <w:t xml:space="preserve">TNBS) kod štakora. </w:t>
      </w:r>
    </w:p>
    <w:p w:rsidR="009F503D" w:rsidRPr="00535765" w:rsidRDefault="00FA0C40">
      <w:pPr>
        <w:pStyle w:val="cmjTEXT"/>
        <w:rPr>
          <w:lang w:val="hr-HR"/>
        </w:rPr>
      </w:pPr>
      <w:r>
        <w:rPr>
          <w:b/>
          <w:lang w:val="hr-HR"/>
        </w:rPr>
        <w:t xml:space="preserve">Postupci </w:t>
      </w:r>
      <w:r>
        <w:rPr>
          <w:lang w:val="hr-HR"/>
        </w:rPr>
        <w:t>Eksperimentalni kolitis izazvan rektalnom primjenom TNBS i etanola liječen je 5-</w:t>
      </w:r>
      <w:proofErr w:type="spellStart"/>
      <w:r>
        <w:rPr>
          <w:lang w:val="hr-HR"/>
        </w:rPr>
        <w:t>aminosalicilnom</w:t>
      </w:r>
      <w:proofErr w:type="spellEnd"/>
      <w:r>
        <w:rPr>
          <w:lang w:val="hr-HR"/>
        </w:rPr>
        <w:t xml:space="preserve"> kiselinom (5-ASA) </w:t>
      </w:r>
      <w:r>
        <w:rPr>
          <w:lang w:val="hr-HR"/>
        </w:rPr>
        <w:t>i/ili 1,25(OH)D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. Aktivnost bolesti mjerena je indeksom aktivacije bolesti (prema </w:t>
      </w:r>
      <w:proofErr w:type="spellStart"/>
      <w:r>
        <w:rPr>
          <w:lang w:val="hr-HR"/>
        </w:rPr>
        <w:t>eng</w:t>
      </w:r>
      <w:r>
        <w:rPr>
          <w:lang w:val="hr-HR"/>
        </w:rPr>
        <w:t>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bookmarkStart w:id="0" w:name="OLE_LINK34"/>
      <w:bookmarkStart w:id="1" w:name="OLE_LINK35"/>
      <w:bookmarkStart w:id="2" w:name="OLE_LINK32"/>
      <w:bookmarkStart w:id="3" w:name="OLE_LINK33"/>
      <w:proofErr w:type="spellStart"/>
      <w:r>
        <w:rPr>
          <w:i/>
          <w:lang w:val="hr-HR"/>
        </w:rPr>
        <w:t>disease</w:t>
      </w:r>
      <w:proofErr w:type="spellEnd"/>
      <w:r>
        <w:rPr>
          <w:i/>
          <w:lang w:val="hr-HR"/>
        </w:rPr>
        <w:t xml:space="preserve"> </w:t>
      </w:r>
      <w:proofErr w:type="spellStart"/>
      <w:r>
        <w:rPr>
          <w:i/>
          <w:lang w:val="hr-HR"/>
        </w:rPr>
        <w:t>activation</w:t>
      </w:r>
      <w:proofErr w:type="spellEnd"/>
      <w:r>
        <w:rPr>
          <w:i/>
          <w:lang w:val="hr-HR"/>
        </w:rPr>
        <w:t xml:space="preserve"> indeks</w:t>
      </w:r>
      <w:r>
        <w:rPr>
          <w:lang w:val="hr-HR"/>
        </w:rPr>
        <w:t xml:space="preserve">, DAI), indeksom makroskopskog oštećenja debelog crijeva (prema </w:t>
      </w:r>
      <w:proofErr w:type="spellStart"/>
      <w:r>
        <w:rPr>
          <w:lang w:val="hr-HR"/>
        </w:rPr>
        <w:t>eng</w:t>
      </w:r>
      <w:r>
        <w:rPr>
          <w:lang w:val="hr-HR"/>
        </w:rPr>
        <w:t>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bCs/>
          <w:i/>
          <w:lang w:val="hr-HR"/>
        </w:rPr>
        <w:t>colon</w:t>
      </w:r>
      <w:proofErr w:type="spellEnd"/>
      <w:r>
        <w:rPr>
          <w:bCs/>
          <w:i/>
          <w:lang w:val="hr-HR"/>
        </w:rPr>
        <w:t xml:space="preserve"> </w:t>
      </w:r>
      <w:proofErr w:type="spellStart"/>
      <w:r>
        <w:rPr>
          <w:bCs/>
          <w:i/>
          <w:lang w:val="hr-HR"/>
        </w:rPr>
        <w:t>macroscopic</w:t>
      </w:r>
      <w:proofErr w:type="spellEnd"/>
      <w:r>
        <w:rPr>
          <w:bCs/>
          <w:i/>
          <w:lang w:val="hr-HR"/>
        </w:rPr>
        <w:t xml:space="preserve"> </w:t>
      </w:r>
      <w:proofErr w:type="spellStart"/>
      <w:r>
        <w:rPr>
          <w:bCs/>
          <w:i/>
          <w:lang w:val="hr-HR"/>
        </w:rPr>
        <w:t>damage</w:t>
      </w:r>
      <w:proofErr w:type="spellEnd"/>
      <w:r>
        <w:rPr>
          <w:bCs/>
          <w:i/>
          <w:lang w:val="hr-HR"/>
        </w:rPr>
        <w:t xml:space="preserve"> </w:t>
      </w:r>
      <w:proofErr w:type="spellStart"/>
      <w:r>
        <w:rPr>
          <w:bCs/>
          <w:i/>
          <w:lang w:val="hr-HR"/>
        </w:rPr>
        <w:t>index</w:t>
      </w:r>
      <w:proofErr w:type="spellEnd"/>
      <w:r>
        <w:rPr>
          <w:lang w:val="hr-HR"/>
        </w:rPr>
        <w:t xml:space="preserve">, CMDI), histološkim izračunom oštećenja </w:t>
      </w:r>
      <w:r>
        <w:rPr>
          <w:lang w:val="hr-HR"/>
        </w:rPr>
        <w:t>debelog crijeva</w:t>
      </w:r>
      <w:bookmarkEnd w:id="0"/>
      <w:bookmarkEnd w:id="1"/>
      <w:r>
        <w:rPr>
          <w:lang w:val="hr-HR"/>
        </w:rPr>
        <w:t xml:space="preserve"> i aktivnošću </w:t>
      </w:r>
      <w:proofErr w:type="spellStart"/>
      <w:r>
        <w:rPr>
          <w:lang w:val="hr-HR"/>
        </w:rPr>
        <w:t>mijeloperoksidaze</w:t>
      </w:r>
      <w:proofErr w:type="spellEnd"/>
      <w:r>
        <w:rPr>
          <w:lang w:val="hr-HR"/>
        </w:rPr>
        <w:t xml:space="preserve"> (MPO)</w:t>
      </w:r>
      <w:bookmarkEnd w:id="2"/>
      <w:bookmarkEnd w:id="3"/>
      <w:r>
        <w:rPr>
          <w:lang w:val="hr-HR"/>
        </w:rPr>
        <w:t xml:space="preserve">. Ekspresija receptora nalik </w:t>
      </w:r>
      <w:proofErr w:type="spellStart"/>
      <w:r>
        <w:rPr>
          <w:i/>
          <w:lang w:val="hr-HR"/>
        </w:rPr>
        <w:t>tollu</w:t>
      </w:r>
      <w:proofErr w:type="spellEnd"/>
      <w:r>
        <w:rPr>
          <w:i/>
          <w:lang w:val="hr-HR"/>
        </w:rPr>
        <w:t xml:space="preserve"> </w:t>
      </w:r>
      <w:r>
        <w:rPr>
          <w:lang w:val="hr-HR"/>
        </w:rPr>
        <w:t xml:space="preserve">(prema </w:t>
      </w:r>
      <w:proofErr w:type="spellStart"/>
      <w:r>
        <w:rPr>
          <w:lang w:val="hr-HR"/>
        </w:rPr>
        <w:t>eng</w:t>
      </w:r>
      <w:r>
        <w:rPr>
          <w:lang w:val="hr-HR"/>
        </w:rPr>
        <w:t>l</w:t>
      </w:r>
      <w:proofErr w:type="spellEnd"/>
      <w:r>
        <w:rPr>
          <w:lang w:val="hr-HR"/>
        </w:rPr>
        <w:t>.</w:t>
      </w:r>
      <w:r>
        <w:rPr>
          <w:lang w:val="hr-HR"/>
        </w:rPr>
        <w:t xml:space="preserve"> </w:t>
      </w:r>
      <w:proofErr w:type="spellStart"/>
      <w:r>
        <w:rPr>
          <w:i/>
          <w:lang w:val="hr-HR"/>
        </w:rPr>
        <w:t>toll</w:t>
      </w:r>
      <w:proofErr w:type="spellEnd"/>
      <w:r>
        <w:rPr>
          <w:i/>
          <w:lang w:val="hr-HR"/>
        </w:rPr>
        <w:t>-like receptor 9</w:t>
      </w:r>
      <w:r>
        <w:rPr>
          <w:lang w:val="hr-HR"/>
        </w:rPr>
        <w:t>, TLR9) u debelom crijevu određena je reverznom transkripcijom-</w:t>
      </w:r>
      <w:proofErr w:type="spellStart"/>
      <w:r>
        <w:rPr>
          <w:lang w:val="hr-HR"/>
        </w:rPr>
        <w:t>polimeraznom</w:t>
      </w:r>
      <w:proofErr w:type="spellEnd"/>
      <w:r>
        <w:rPr>
          <w:lang w:val="hr-HR"/>
        </w:rPr>
        <w:t xml:space="preserve"> lančanom reakcijom i </w:t>
      </w:r>
      <w:proofErr w:type="spellStart"/>
      <w:r>
        <w:rPr>
          <w:lang w:val="hr-HR"/>
        </w:rPr>
        <w:t>imunohistokemijom</w:t>
      </w:r>
      <w:proofErr w:type="spellEnd"/>
      <w:r>
        <w:rPr>
          <w:lang w:val="hr-HR"/>
        </w:rPr>
        <w:t xml:space="preserve">. </w:t>
      </w:r>
    </w:p>
    <w:p w:rsidR="009F503D" w:rsidRDefault="00FA0C40">
      <w:pPr>
        <w:pStyle w:val="cmjTEXT"/>
        <w:rPr>
          <w:bCs/>
          <w:lang w:val="hr-HR"/>
        </w:rPr>
      </w:pPr>
      <w:r>
        <w:rPr>
          <w:b/>
          <w:lang w:val="hr-HR"/>
        </w:rPr>
        <w:t>Rezultati</w:t>
      </w:r>
      <w:r>
        <w:rPr>
          <w:lang w:val="hr-HR"/>
        </w:rPr>
        <w:t xml:space="preserve"> Štakori </w:t>
      </w:r>
      <w:r>
        <w:rPr>
          <w:lang w:val="hr-HR"/>
        </w:rPr>
        <w:t xml:space="preserve">s </w:t>
      </w:r>
      <w:proofErr w:type="spellStart"/>
      <w:r>
        <w:rPr>
          <w:lang w:val="hr-HR"/>
        </w:rPr>
        <w:t>kolitisom</w:t>
      </w:r>
      <w:proofErr w:type="spellEnd"/>
      <w:r>
        <w:rPr>
          <w:lang w:val="hr-HR"/>
        </w:rPr>
        <w:t xml:space="preserve"> imali su značajno povišen DAI, CMDI, histološki izračun oštećenja debelog crijeva</w:t>
      </w:r>
      <w:r w:rsidR="00535765">
        <w:rPr>
          <w:lang w:val="hr-HR"/>
        </w:rPr>
        <w:t xml:space="preserve"> te</w:t>
      </w:r>
      <w:r>
        <w:rPr>
          <w:lang w:val="hr-HR"/>
        </w:rPr>
        <w:t xml:space="preserve"> aktivnost MPO (svaki </w:t>
      </w:r>
      <w:r>
        <w:rPr>
          <w:i/>
          <w:lang w:val="hr-HR"/>
        </w:rPr>
        <w:t xml:space="preserve">P </w:t>
      </w:r>
      <w:r>
        <w:rPr>
          <w:lang w:val="hr-HR"/>
        </w:rPr>
        <w:t xml:space="preserve">&lt; 0,001) u usporedbi sa štakorima </w:t>
      </w:r>
      <w:r w:rsidR="00535765">
        <w:rPr>
          <w:lang w:val="hr-HR"/>
        </w:rPr>
        <w:t>bez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kolitis</w:t>
      </w:r>
      <w:r w:rsidR="00535765">
        <w:rPr>
          <w:lang w:val="hr-HR"/>
        </w:rPr>
        <w:t>a</w:t>
      </w:r>
      <w:proofErr w:type="spellEnd"/>
      <w:r>
        <w:rPr>
          <w:lang w:val="hr-HR"/>
        </w:rPr>
        <w:t>. Liječenje 5-ASA-om i/ili 1,25(OH)D</w:t>
      </w:r>
      <w:r>
        <w:rPr>
          <w:vertAlign w:val="subscript"/>
          <w:lang w:val="hr-HR"/>
        </w:rPr>
        <w:t>3-</w:t>
      </w:r>
      <w:r>
        <w:rPr>
          <w:lang w:val="hr-HR"/>
        </w:rPr>
        <w:t>om ublažilo je kolitis, na što upućuje ni</w:t>
      </w:r>
      <w:r>
        <w:rPr>
          <w:lang w:val="hr-HR"/>
        </w:rPr>
        <w:t>ži CMDI (</w:t>
      </w:r>
      <w:r>
        <w:rPr>
          <w:i/>
          <w:lang w:val="hr-HR"/>
        </w:rPr>
        <w:t xml:space="preserve">P </w:t>
      </w:r>
      <w:r>
        <w:rPr>
          <w:lang w:val="hr-HR"/>
        </w:rPr>
        <w:t xml:space="preserve">= 0,049, odnosno </w:t>
      </w:r>
      <w:r>
        <w:rPr>
          <w:i/>
          <w:lang w:val="hr-HR"/>
        </w:rPr>
        <w:t xml:space="preserve">P </w:t>
      </w:r>
      <w:r>
        <w:rPr>
          <w:lang w:val="hr-HR"/>
        </w:rPr>
        <w:t>= 0,040), niži histološki izračun oštećenja debelog crijeva (</w:t>
      </w:r>
      <w:r>
        <w:rPr>
          <w:i/>
          <w:lang w:val="hr-HR"/>
        </w:rPr>
        <w:t xml:space="preserve">P </w:t>
      </w:r>
      <w:r>
        <w:rPr>
          <w:lang w:val="hr-HR"/>
        </w:rPr>
        <w:t>= 0,010 odnosno</w:t>
      </w:r>
      <w:r>
        <w:rPr>
          <w:i/>
          <w:lang w:val="hr-HR"/>
        </w:rPr>
        <w:t xml:space="preserve"> P </w:t>
      </w:r>
      <w:r>
        <w:rPr>
          <w:lang w:val="hr-HR"/>
        </w:rPr>
        <w:t>= 0,005) i slabija aktivnost MPO (</w:t>
      </w:r>
      <w:r>
        <w:rPr>
          <w:i/>
          <w:lang w:val="hr-HR"/>
        </w:rPr>
        <w:t xml:space="preserve">P </w:t>
      </w:r>
      <w:r>
        <w:rPr>
          <w:lang w:val="hr-HR"/>
        </w:rPr>
        <w:t>= 0,0003 odnosno</w:t>
      </w:r>
      <w:r>
        <w:rPr>
          <w:i/>
          <w:lang w:val="hr-HR"/>
        </w:rPr>
        <w:t xml:space="preserve"> P </w:t>
      </w:r>
      <w:r>
        <w:rPr>
          <w:lang w:val="hr-HR"/>
        </w:rPr>
        <w:t>= 0,0013) u usporedbi s TNBS skupinom. Liječenje kombinacijom 5-ASA i 1,25(OH)D</w:t>
      </w:r>
      <w:r>
        <w:rPr>
          <w:vertAlign w:val="subscript"/>
          <w:lang w:val="hr-HR"/>
        </w:rPr>
        <w:t xml:space="preserve">3 </w:t>
      </w:r>
      <w:r>
        <w:rPr>
          <w:lang w:val="hr-HR"/>
        </w:rPr>
        <w:t xml:space="preserve">značajno </w:t>
      </w:r>
      <w:r>
        <w:rPr>
          <w:lang w:val="hr-HR"/>
        </w:rPr>
        <w:t>je smanjilo aktivnost MPO (</w:t>
      </w:r>
      <w:r>
        <w:rPr>
          <w:i/>
          <w:lang w:val="hr-HR"/>
        </w:rPr>
        <w:t xml:space="preserve">P </w:t>
      </w:r>
      <w:r>
        <w:rPr>
          <w:lang w:val="hr-HR"/>
        </w:rPr>
        <w:t>= 0,003). 1,25(OH)D</w:t>
      </w:r>
      <w:r>
        <w:rPr>
          <w:vertAlign w:val="subscript"/>
          <w:lang w:val="hr-HR"/>
        </w:rPr>
        <w:t xml:space="preserve">3 </w:t>
      </w:r>
      <w:r>
        <w:rPr>
          <w:lang w:val="hr-HR"/>
        </w:rPr>
        <w:t xml:space="preserve">je ublažio kolitis bez izazivanja </w:t>
      </w:r>
      <w:proofErr w:type="spellStart"/>
      <w:r>
        <w:rPr>
          <w:lang w:val="hr-HR"/>
        </w:rPr>
        <w:t>hiperkalcemije</w:t>
      </w:r>
      <w:proofErr w:type="spellEnd"/>
      <w:r>
        <w:rPr>
          <w:lang w:val="hr-HR"/>
        </w:rPr>
        <w:t xml:space="preserve"> ili zatajenja bubrega. </w:t>
      </w:r>
      <w:r>
        <w:rPr>
          <w:bCs/>
          <w:lang w:val="hr-HR"/>
        </w:rPr>
        <w:t>TNBS</w:t>
      </w:r>
      <w:r>
        <w:rPr>
          <w:lang w:val="hr-HR"/>
        </w:rPr>
        <w:t xml:space="preserve"> je značajno smanjio broj </w:t>
      </w:r>
      <w:r>
        <w:rPr>
          <w:bCs/>
          <w:lang w:val="hr-HR"/>
        </w:rPr>
        <w:t>TLR9-pozitivnih stanica u usporedbi s kontrolnom skupinom (</w:t>
      </w:r>
      <w:r>
        <w:rPr>
          <w:i/>
          <w:lang w:val="hr-HR"/>
        </w:rPr>
        <w:t xml:space="preserve">P </w:t>
      </w:r>
      <w:r>
        <w:rPr>
          <w:lang w:val="hr-HR"/>
        </w:rPr>
        <w:t>&lt; 0,010</w:t>
      </w:r>
      <w:r>
        <w:rPr>
          <w:bCs/>
          <w:lang w:val="hr-HR"/>
        </w:rPr>
        <w:t>), dok su 5-ASA, 1,25(OH)D3, i kombi</w:t>
      </w:r>
      <w:r>
        <w:rPr>
          <w:bCs/>
          <w:lang w:val="hr-HR"/>
        </w:rPr>
        <w:t>nirano liječenje značajno smanjili taj broj u usporedbi s TNBS skupinom (</w:t>
      </w:r>
      <w:r>
        <w:rPr>
          <w:lang w:val="hr-HR"/>
        </w:rPr>
        <w:t xml:space="preserve">svaki </w:t>
      </w:r>
      <w:r>
        <w:rPr>
          <w:i/>
          <w:lang w:val="hr-HR"/>
        </w:rPr>
        <w:t xml:space="preserve">P </w:t>
      </w:r>
      <w:r>
        <w:rPr>
          <w:lang w:val="hr-HR"/>
        </w:rPr>
        <w:t>&lt; 0,010</w:t>
      </w:r>
      <w:r>
        <w:rPr>
          <w:bCs/>
          <w:lang w:val="hr-HR"/>
        </w:rPr>
        <w:t xml:space="preserve">). U TNBS skupini postojala je umjerena korelacija između MPO aktivnosti i broja TLR9-pozitivnih stanica (r = 0,654, </w:t>
      </w:r>
      <w:r>
        <w:rPr>
          <w:bCs/>
          <w:i/>
          <w:lang w:val="hr-HR"/>
        </w:rPr>
        <w:t>P</w:t>
      </w:r>
      <w:r>
        <w:rPr>
          <w:bCs/>
          <w:lang w:val="hr-HR"/>
        </w:rPr>
        <w:t xml:space="preserve"> &lt; 0,001).</w:t>
      </w:r>
    </w:p>
    <w:p w:rsidR="009F503D" w:rsidRDefault="00FA0C40">
      <w:pPr>
        <w:pStyle w:val="cmjTEXT"/>
        <w:rPr>
          <w:lang w:val="hr-HR"/>
        </w:rPr>
      </w:pPr>
      <w:r>
        <w:rPr>
          <w:b/>
          <w:lang w:val="hr-HR"/>
        </w:rPr>
        <w:t xml:space="preserve">Zaključak </w:t>
      </w:r>
      <w:r>
        <w:rPr>
          <w:lang w:val="hr-HR"/>
        </w:rPr>
        <w:t>Ekspresija TLR9 korelira sa s</w:t>
      </w:r>
      <w:r>
        <w:rPr>
          <w:lang w:val="hr-HR"/>
        </w:rPr>
        <w:t xml:space="preserve">tupnjem upale kod </w:t>
      </w:r>
      <w:proofErr w:type="spellStart"/>
      <w:r>
        <w:rPr>
          <w:lang w:val="hr-HR"/>
        </w:rPr>
        <w:t>kolitisa</w:t>
      </w:r>
      <w:proofErr w:type="spellEnd"/>
      <w:r>
        <w:rPr>
          <w:lang w:val="hr-HR"/>
        </w:rPr>
        <w:t xml:space="preserve"> izazvanog TNBS-om. Vjerojatni mehanizam kojim 1,25(OH)D</w:t>
      </w:r>
      <w:r>
        <w:rPr>
          <w:vertAlign w:val="subscript"/>
          <w:lang w:val="hr-HR"/>
        </w:rPr>
        <w:t>3</w:t>
      </w:r>
      <w:r>
        <w:rPr>
          <w:lang w:val="hr-HR"/>
        </w:rPr>
        <w:t xml:space="preserve"> ublažava ovu upalu je smanjenje ekspresije TLR9.</w:t>
      </w:r>
    </w:p>
    <w:p w:rsidR="009F503D" w:rsidRDefault="009F503D">
      <w:pPr>
        <w:pStyle w:val="cmjNASLOV"/>
        <w:rPr>
          <w:lang w:val="hr-HR"/>
        </w:rPr>
      </w:pPr>
    </w:p>
    <w:p w:rsidR="009F503D" w:rsidRDefault="009F503D">
      <w:pPr>
        <w:pStyle w:val="cmjAUTORI"/>
        <w:rPr>
          <w:vertAlign w:val="superscript"/>
          <w:lang w:val="hr-HR"/>
        </w:rPr>
      </w:pPr>
    </w:p>
    <w:p w:rsidR="009F503D" w:rsidRDefault="009F503D">
      <w:pPr>
        <w:pStyle w:val="cmjREF"/>
        <w:rPr>
          <w:lang w:val="hr-HR"/>
        </w:rPr>
      </w:pPr>
    </w:p>
    <w:p w:rsidR="009F503D" w:rsidRDefault="009F503D">
      <w:pPr>
        <w:spacing w:line="360" w:lineRule="auto"/>
        <w:rPr>
          <w:color w:val="000000"/>
          <w:lang w:val="hr-HR"/>
        </w:rPr>
      </w:pPr>
    </w:p>
    <w:p w:rsidR="009F503D" w:rsidRDefault="009F503D">
      <w:pPr>
        <w:pStyle w:val="Heading2"/>
        <w:spacing w:line="360" w:lineRule="auto"/>
        <w:jc w:val="left"/>
      </w:pPr>
    </w:p>
    <w:sectPr w:rsidR="009F503D" w:rsidSect="009F503D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40" w:rsidRDefault="00FA0C40" w:rsidP="009F503D">
      <w:r>
        <w:separator/>
      </w:r>
    </w:p>
  </w:endnote>
  <w:endnote w:type="continuationSeparator" w:id="0">
    <w:p w:rsidR="00FA0C40" w:rsidRDefault="00FA0C40" w:rsidP="009F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3D" w:rsidRDefault="009F503D">
    <w:pPr>
      <w:pStyle w:val="Footer"/>
    </w:pPr>
    <w:r w:rsidRPr="009F503D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9F503D" w:rsidRDefault="009F503D">
                <w:pPr>
                  <w:pStyle w:val="Footer"/>
                </w:pPr>
                <w:r w:rsidRPr="009F503D">
                  <w:rPr>
                    <w:rStyle w:val="Brojstranice"/>
                  </w:rPr>
                  <w:fldChar w:fldCharType="begin"/>
                </w:r>
                <w:r w:rsidR="00FA0C40">
                  <w:instrText>PAGE</w:instrText>
                </w:r>
                <w:r>
                  <w:fldChar w:fldCharType="separate"/>
                </w:r>
                <w:r w:rsidR="0053576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40" w:rsidRDefault="00FA0C40" w:rsidP="009F503D">
      <w:r>
        <w:separator/>
      </w:r>
    </w:p>
  </w:footnote>
  <w:footnote w:type="continuationSeparator" w:id="0">
    <w:p w:rsidR="00FA0C40" w:rsidRDefault="00FA0C40" w:rsidP="009F5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C0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447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280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6E7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B9EC2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440B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38C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9BCB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503D"/>
    <w:rsid w:val="00535765"/>
    <w:rsid w:val="009F503D"/>
    <w:rsid w:val="00FA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9D"/>
    <w:pPr>
      <w:widowControl w:val="0"/>
      <w:jc w:val="both"/>
    </w:pPr>
    <w:rPr>
      <w:rFonts w:ascii="Calibri" w:eastAsia="SimSun" w:hAnsi="Calibri"/>
      <w:sz w:val="21"/>
      <w:szCs w:val="22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widowControl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widowControl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widowControl/>
      <w:jc w:val="left"/>
      <w:outlineLvl w:val="2"/>
    </w:pPr>
    <w:rPr>
      <w:rFonts w:ascii="Times New Roman" w:eastAsia="Times New Roman" w:hAnsi="Times New Roman"/>
      <w:b/>
      <w:bCs/>
      <w:sz w:val="22"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widowControl/>
      <w:spacing w:line="480" w:lineRule="auto"/>
      <w:jc w:val="left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semiHidden/>
    <w:rsid w:val="009F503D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9F503D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9F503D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uiPriority w:val="99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TekstkomentaraChar">
    <w:name w:val="Tekst komentara Char"/>
    <w:link w:val="Tekstkomentara"/>
    <w:uiPriority w:val="99"/>
    <w:semiHidden/>
    <w:qFormat/>
    <w:rsid w:val="001A239D"/>
    <w:rPr>
      <w:lang w:val="tr-TR" w:eastAsia="tr-TR"/>
    </w:rPr>
  </w:style>
  <w:style w:type="character" w:customStyle="1" w:styleId="email">
    <w:name w:val="email"/>
    <w:qFormat/>
    <w:rsid w:val="001A239D"/>
  </w:style>
  <w:style w:type="character" w:customStyle="1" w:styleId="shorttext">
    <w:name w:val="short_text"/>
    <w:qFormat/>
    <w:rsid w:val="001A239D"/>
  </w:style>
  <w:style w:type="paragraph" w:customStyle="1" w:styleId="Heading">
    <w:name w:val="Heading"/>
    <w:basedOn w:val="Normal"/>
    <w:next w:val="TextBody"/>
    <w:qFormat/>
    <w:rsid w:val="009F503D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9F503D"/>
    <w:pPr>
      <w:widowControl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Popis">
    <w:name w:val="List"/>
    <w:basedOn w:val="TextBody"/>
    <w:rsid w:val="009F503D"/>
    <w:rPr>
      <w:rFonts w:cs="Lucida Sans"/>
    </w:rPr>
  </w:style>
  <w:style w:type="paragraph" w:customStyle="1" w:styleId="Caption">
    <w:name w:val="Caption"/>
    <w:basedOn w:val="Normal"/>
    <w:qFormat/>
    <w:rsid w:val="009F50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F503D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9F503D"/>
    <w:pPr>
      <w:widowControl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9F503D"/>
    <w:pPr>
      <w:widowControl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9F503D"/>
    <w:pPr>
      <w:widowControl/>
      <w:ind w:left="113" w:right="113"/>
      <w:jc w:val="left"/>
    </w:pPr>
    <w:rPr>
      <w:rFonts w:ascii="Times New Roman" w:eastAsia="Times New Roman" w:hAnsi="Times New Roman"/>
      <w:sz w:val="20"/>
      <w:szCs w:val="24"/>
      <w:lang w:val="tr-TR" w:eastAsia="tr-TR"/>
    </w:rPr>
  </w:style>
  <w:style w:type="paragraph" w:styleId="Opisslike">
    <w:name w:val="caption"/>
    <w:basedOn w:val="Normal"/>
    <w:next w:val="Normal"/>
    <w:qFormat/>
    <w:rsid w:val="00CA60B2"/>
    <w:pPr>
      <w:widowControl/>
      <w:shd w:val="clear" w:color="auto" w:fill="E6E6E6"/>
      <w:jc w:val="left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widowControl/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widowControl/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1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1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1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1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1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link w:val="TekstkomentaraChar"/>
    <w:uiPriority w:val="99"/>
    <w:semiHidden/>
    <w:qFormat/>
    <w:rsid w:val="00027E87"/>
    <w:pPr>
      <w:widowControl/>
      <w:jc w:val="left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widowControl/>
      <w:spacing w:line="360" w:lineRule="auto"/>
      <w:jc w:val="left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widowControl/>
      <w:spacing w:line="360" w:lineRule="auto"/>
      <w:jc w:val="left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9F50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1744</Characters>
  <Application>Microsoft Office Word</Application>
  <DocSecurity>0</DocSecurity>
  <Lines>14</Lines>
  <Paragraphs>4</Paragraphs>
  <ScaleCrop>false</ScaleCrop>
  <Company>Medicinski fakultet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8</cp:revision>
  <cp:lastPrinted>2007-04-24T14:16:00Z</cp:lastPrinted>
  <dcterms:created xsi:type="dcterms:W3CDTF">2016-01-19T12:58:00Z</dcterms:created>
  <dcterms:modified xsi:type="dcterms:W3CDTF">2016-09-05T07:29:00Z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